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B5CB" w14:textId="79C0DCC3" w:rsidR="00DB2A2F" w:rsidRDefault="00DB2A2F" w:rsidP="00DB2A2F">
      <w:pPr>
        <w:pStyle w:val="Nagwek"/>
        <w:tabs>
          <w:tab w:val="left" w:pos="708"/>
        </w:tabs>
        <w:ind w:right="-82"/>
        <w:jc w:val="center"/>
        <w:rPr>
          <w:b/>
          <w:bCs/>
        </w:rPr>
      </w:pPr>
      <w:r w:rsidRPr="00DB2A2F">
        <w:rPr>
          <w:b/>
          <w:bCs/>
        </w:rPr>
        <w:t>TEMATYKA WARSZTATÓW</w:t>
      </w:r>
    </w:p>
    <w:p w14:paraId="76E2189A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center"/>
      </w:pPr>
    </w:p>
    <w:p w14:paraId="40A1CADE" w14:textId="2FDDCFAF" w:rsidR="00DB2A2F" w:rsidRDefault="00DB2A2F" w:rsidP="00DB2A2F">
      <w:pPr>
        <w:pStyle w:val="Nagwek"/>
        <w:tabs>
          <w:tab w:val="left" w:pos="708"/>
        </w:tabs>
        <w:ind w:right="-82"/>
        <w:jc w:val="center"/>
        <w:rPr>
          <w:b/>
          <w:bCs/>
        </w:rPr>
      </w:pPr>
      <w:r w:rsidRPr="00DB2A2F">
        <w:rPr>
          <w:b/>
          <w:bCs/>
        </w:rPr>
        <w:t>7 października 2022 r. (PIĄTEK) - Liczba godzin: 2 godziny szkolenia + 6 godzin warsztatów</w:t>
      </w:r>
    </w:p>
    <w:p w14:paraId="6B752AB0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center"/>
      </w:pPr>
    </w:p>
    <w:p w14:paraId="19F0813E" w14:textId="4E61998A" w:rsidR="00DB2A2F" w:rsidRDefault="00DB2A2F" w:rsidP="00DB2A2F">
      <w:pPr>
        <w:pStyle w:val="Nagwek"/>
        <w:tabs>
          <w:tab w:val="left" w:pos="708"/>
        </w:tabs>
        <w:ind w:right="-82"/>
        <w:jc w:val="center"/>
        <w:rPr>
          <w:b/>
          <w:bCs/>
        </w:rPr>
      </w:pPr>
      <w:r w:rsidRPr="00DB2A2F">
        <w:rPr>
          <w:b/>
          <w:bCs/>
        </w:rPr>
        <w:t>„PRAKTYCZNE ASPEKTY STOSOWANIA PODEJSCIA DOCHODOWEGO W WYCENIE NIERUCHOMOŚCI”</w:t>
      </w:r>
    </w:p>
    <w:p w14:paraId="114C1C13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center"/>
      </w:pPr>
    </w:p>
    <w:p w14:paraId="3A9ADA2D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both"/>
      </w:pPr>
      <w:r w:rsidRPr="00DB2A2F">
        <w:rPr>
          <w:b/>
          <w:bCs/>
        </w:rPr>
        <w:t xml:space="preserve">Część I. Wybrane elementy podejścia dochodowego </w:t>
      </w:r>
    </w:p>
    <w:p w14:paraId="61B0C218" w14:textId="7D64238C" w:rsidR="00DB2A2F" w:rsidRPr="00DB2A2F" w:rsidRDefault="00DB2A2F" w:rsidP="00DB2A2F">
      <w:pPr>
        <w:pStyle w:val="Nagwek"/>
        <w:numPr>
          <w:ilvl w:val="0"/>
          <w:numId w:val="39"/>
        </w:numPr>
        <w:tabs>
          <w:tab w:val="left" w:pos="708"/>
        </w:tabs>
        <w:ind w:right="-82"/>
        <w:jc w:val="both"/>
      </w:pPr>
      <w:r w:rsidRPr="00DB2A2F">
        <w:t xml:space="preserve">Wprowadzenie. </w:t>
      </w:r>
    </w:p>
    <w:p w14:paraId="5512F313" w14:textId="3B994026" w:rsidR="00DB2A2F" w:rsidRPr="00DB2A2F" w:rsidRDefault="00DB2A2F" w:rsidP="00DB2A2F">
      <w:pPr>
        <w:pStyle w:val="Nagwek"/>
        <w:numPr>
          <w:ilvl w:val="0"/>
          <w:numId w:val="39"/>
        </w:numPr>
        <w:tabs>
          <w:tab w:val="left" w:pos="708"/>
        </w:tabs>
        <w:ind w:right="-82"/>
      </w:pPr>
      <w:r w:rsidRPr="00DB2A2F">
        <w:t xml:space="preserve">Kiedy stosujemy podejście dochodowe w wycenie nieruchomości? </w:t>
      </w:r>
    </w:p>
    <w:p w14:paraId="5304105E" w14:textId="013ED577" w:rsidR="00DB2A2F" w:rsidRPr="00DB2A2F" w:rsidRDefault="00DB2A2F" w:rsidP="00DB2A2F">
      <w:pPr>
        <w:pStyle w:val="Nagwek"/>
        <w:numPr>
          <w:ilvl w:val="1"/>
          <w:numId w:val="39"/>
        </w:numPr>
        <w:ind w:left="1134" w:right="-82"/>
        <w:jc w:val="both"/>
      </w:pPr>
      <w:r w:rsidRPr="00DB2A2F">
        <w:t xml:space="preserve">Obszary zastosowania podejścia dochodowego. </w:t>
      </w:r>
    </w:p>
    <w:p w14:paraId="5DF4D8A3" w14:textId="7C27FDF9" w:rsidR="00DB2A2F" w:rsidRPr="00DB2A2F" w:rsidRDefault="00DB2A2F" w:rsidP="00DB2A2F">
      <w:pPr>
        <w:pStyle w:val="Nagwek"/>
        <w:numPr>
          <w:ilvl w:val="1"/>
          <w:numId w:val="39"/>
        </w:numPr>
        <w:ind w:left="1134" w:right="-82"/>
        <w:jc w:val="both"/>
      </w:pPr>
      <w:r w:rsidRPr="00DB2A2F">
        <w:t xml:space="preserve">Wartość rynkowa nieruchomości a wartość indywidualna. Przykład wyceny. </w:t>
      </w:r>
    </w:p>
    <w:p w14:paraId="1527D409" w14:textId="2547237C" w:rsidR="00DB2A2F" w:rsidRPr="00DB2A2F" w:rsidRDefault="00DB2A2F" w:rsidP="00DB2A2F">
      <w:pPr>
        <w:pStyle w:val="Nagwek"/>
        <w:numPr>
          <w:ilvl w:val="1"/>
          <w:numId w:val="39"/>
        </w:numPr>
        <w:ind w:left="1134" w:right="-82"/>
        <w:jc w:val="both"/>
      </w:pPr>
      <w:r w:rsidRPr="00DB2A2F">
        <w:t xml:space="preserve">Wartość rynkowa nieruchomości a wartość przedsiębiorstwa określane w </w:t>
      </w:r>
    </w:p>
    <w:p w14:paraId="33FE298C" w14:textId="77777777" w:rsidR="00DB2A2F" w:rsidRPr="00DB2A2F" w:rsidRDefault="00DB2A2F" w:rsidP="00DB2A2F">
      <w:pPr>
        <w:pStyle w:val="Nagwek"/>
        <w:tabs>
          <w:tab w:val="left" w:pos="708"/>
        </w:tabs>
        <w:ind w:left="720" w:right="-82"/>
        <w:jc w:val="both"/>
      </w:pPr>
      <w:r w:rsidRPr="00DB2A2F">
        <w:t xml:space="preserve">podejściu dochodowym. Podobieństwa i różnice. </w:t>
      </w:r>
    </w:p>
    <w:p w14:paraId="388CB641" w14:textId="3529006C" w:rsidR="00DB2A2F" w:rsidRPr="00DB2A2F" w:rsidRDefault="00DB2A2F" w:rsidP="00DB2A2F">
      <w:pPr>
        <w:pStyle w:val="Nagwek"/>
        <w:numPr>
          <w:ilvl w:val="0"/>
          <w:numId w:val="38"/>
        </w:numPr>
        <w:tabs>
          <w:tab w:val="left" w:pos="708"/>
        </w:tabs>
        <w:ind w:right="-82"/>
        <w:jc w:val="both"/>
      </w:pPr>
      <w:r w:rsidRPr="00DB2A2F">
        <w:t xml:space="preserve">Podstawy prawne i metodyczne stosowania podejścia dochodowego w wycenie nieruchomości wg przepisów i aktualnej Noty Interpretacyjnej. </w:t>
      </w:r>
    </w:p>
    <w:p w14:paraId="09389FA7" w14:textId="010207CE" w:rsidR="00DB2A2F" w:rsidRPr="00DB2A2F" w:rsidRDefault="00DB2A2F" w:rsidP="00DB2A2F">
      <w:pPr>
        <w:pStyle w:val="Nagwek"/>
        <w:numPr>
          <w:ilvl w:val="0"/>
          <w:numId w:val="38"/>
        </w:numPr>
        <w:tabs>
          <w:tab w:val="left" w:pos="708"/>
        </w:tabs>
        <w:ind w:right="-82"/>
        <w:jc w:val="both"/>
      </w:pPr>
      <w:r w:rsidRPr="00DB2A2F">
        <w:t xml:space="preserve">Pozostałe warunki poprawności wyceny wartości rynkowej nieruchomości w podejściu </w:t>
      </w:r>
    </w:p>
    <w:p w14:paraId="5C517A72" w14:textId="77777777" w:rsidR="00DB2A2F" w:rsidRPr="00DB2A2F" w:rsidRDefault="00DB2A2F" w:rsidP="00DB2A2F">
      <w:pPr>
        <w:pStyle w:val="Nagwek"/>
        <w:tabs>
          <w:tab w:val="left" w:pos="708"/>
        </w:tabs>
        <w:ind w:left="720" w:right="-82"/>
        <w:jc w:val="both"/>
      </w:pPr>
      <w:r w:rsidRPr="00DB2A2F">
        <w:t xml:space="preserve">dochodowym. </w:t>
      </w:r>
    </w:p>
    <w:p w14:paraId="3CD34AC5" w14:textId="45F211C6" w:rsidR="00DB2A2F" w:rsidRPr="00DB2A2F" w:rsidRDefault="00DB2A2F" w:rsidP="00DB2A2F">
      <w:pPr>
        <w:pStyle w:val="Nagwek"/>
        <w:numPr>
          <w:ilvl w:val="1"/>
          <w:numId w:val="38"/>
        </w:numPr>
        <w:tabs>
          <w:tab w:val="left" w:pos="708"/>
        </w:tabs>
        <w:ind w:left="1134" w:right="-82"/>
        <w:jc w:val="both"/>
      </w:pPr>
      <w:r w:rsidRPr="00DB2A2F">
        <w:t xml:space="preserve">Poprawność matematyczna. Prawidłowe zastosowanie teorii wartości pieniądza </w:t>
      </w:r>
    </w:p>
    <w:p w14:paraId="10E83BDD" w14:textId="77777777" w:rsidR="00DB2A2F" w:rsidRPr="00DB2A2F" w:rsidRDefault="00DB2A2F" w:rsidP="00DB2A2F">
      <w:pPr>
        <w:pStyle w:val="Nagwek"/>
        <w:tabs>
          <w:tab w:val="left" w:pos="708"/>
        </w:tabs>
        <w:ind w:left="720" w:right="-82"/>
        <w:jc w:val="both"/>
      </w:pPr>
      <w:r w:rsidRPr="00DB2A2F">
        <w:t xml:space="preserve">w czasie. Modele dochodu i sposoby obliczania wartości. </w:t>
      </w:r>
    </w:p>
    <w:p w14:paraId="384D4E06" w14:textId="510FFD65" w:rsidR="00DB2A2F" w:rsidRPr="00DB2A2F" w:rsidRDefault="00DB2A2F" w:rsidP="00DB2A2F">
      <w:pPr>
        <w:pStyle w:val="Nagwek"/>
        <w:tabs>
          <w:tab w:val="left" w:pos="708"/>
        </w:tabs>
        <w:ind w:left="720" w:right="-82"/>
        <w:jc w:val="both"/>
      </w:pPr>
      <w:r>
        <w:t>4</w:t>
      </w:r>
      <w:r w:rsidRPr="00DB2A2F">
        <w:t xml:space="preserve">.2. Prawidłowe odzwierciedlenie rynku. </w:t>
      </w:r>
    </w:p>
    <w:p w14:paraId="08B713A0" w14:textId="3FBFF9A9" w:rsidR="00DB2A2F" w:rsidRDefault="00DB2A2F" w:rsidP="00DB2A2F">
      <w:pPr>
        <w:pStyle w:val="Nagwek"/>
        <w:numPr>
          <w:ilvl w:val="0"/>
          <w:numId w:val="38"/>
        </w:numPr>
        <w:tabs>
          <w:tab w:val="left" w:pos="708"/>
        </w:tabs>
        <w:ind w:right="-82"/>
        <w:jc w:val="both"/>
      </w:pPr>
      <w:r w:rsidRPr="00DB2A2F">
        <w:t xml:space="preserve">Zakres proponowanych zmian w stosowaniu podejścia dochodowego w Polsce. </w:t>
      </w:r>
    </w:p>
    <w:p w14:paraId="44E7E19C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both"/>
      </w:pPr>
    </w:p>
    <w:p w14:paraId="727893A0" w14:textId="77777777" w:rsidR="00DB2A2F" w:rsidRPr="00DB2A2F" w:rsidRDefault="00DB2A2F" w:rsidP="00DB2A2F">
      <w:pPr>
        <w:pStyle w:val="Nagwek"/>
        <w:tabs>
          <w:tab w:val="left" w:pos="708"/>
        </w:tabs>
        <w:ind w:right="-82"/>
        <w:jc w:val="both"/>
      </w:pPr>
      <w:r w:rsidRPr="00DB2A2F">
        <w:rPr>
          <w:b/>
          <w:bCs/>
        </w:rPr>
        <w:t xml:space="preserve">Część II. Stopy zwrotu jako czynnik kształtujący wartość nieruchomości w podejściu dochodowym </w:t>
      </w:r>
    </w:p>
    <w:p w14:paraId="16C44B4D" w14:textId="466B1FE8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Wprowadzenie do tematyki stóp zwrotu. </w:t>
      </w:r>
    </w:p>
    <w:p w14:paraId="03898B4A" w14:textId="771AB55E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Klasyfikacja stóp zwrotu. </w:t>
      </w:r>
    </w:p>
    <w:p w14:paraId="4EB13FD8" w14:textId="56ACBE53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Ryzyko inwestowania a wysokość stopy zwrotu. Przykłady. </w:t>
      </w:r>
    </w:p>
    <w:p w14:paraId="54E589FE" w14:textId="3C0E54A3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Stopy zwrotu w wycenie wartości rynkowej nieruchomości. </w:t>
      </w:r>
    </w:p>
    <w:p w14:paraId="04EBC0A7" w14:textId="0CD1CCEE" w:rsidR="00DB2A2F" w:rsidRPr="00DB2A2F" w:rsidRDefault="00DB2A2F" w:rsidP="00DB2A2F">
      <w:pPr>
        <w:pStyle w:val="Nagwek"/>
        <w:numPr>
          <w:ilvl w:val="1"/>
          <w:numId w:val="42"/>
        </w:numPr>
        <w:ind w:left="1134" w:right="-82"/>
        <w:jc w:val="both"/>
      </w:pPr>
      <w:r w:rsidRPr="00DB2A2F">
        <w:t xml:space="preserve">Definicje stóp zwrotu według </w:t>
      </w:r>
      <w:r w:rsidRPr="00DB2A2F">
        <w:rPr>
          <w:i/>
          <w:iCs/>
        </w:rPr>
        <w:t xml:space="preserve">Rozporządzenia w sprawie wyceny nieruchomości </w:t>
      </w:r>
    </w:p>
    <w:p w14:paraId="634A6A68" w14:textId="77777777" w:rsidR="00DB2A2F" w:rsidRPr="00DB2A2F" w:rsidRDefault="00DB2A2F" w:rsidP="00DB2A2F">
      <w:pPr>
        <w:pStyle w:val="Nagwek"/>
        <w:ind w:left="1134" w:right="-82"/>
        <w:jc w:val="both"/>
      </w:pPr>
      <w:r w:rsidRPr="00DB2A2F">
        <w:t xml:space="preserve">i Noty Interpretacyjnej. </w:t>
      </w:r>
    </w:p>
    <w:p w14:paraId="38E10A46" w14:textId="46A7AB33" w:rsidR="00DB2A2F" w:rsidRPr="00DB2A2F" w:rsidRDefault="00DB2A2F" w:rsidP="00DB2A2F">
      <w:pPr>
        <w:pStyle w:val="Nagwek"/>
        <w:numPr>
          <w:ilvl w:val="1"/>
          <w:numId w:val="42"/>
        </w:numPr>
        <w:ind w:left="1134" w:right="-82"/>
        <w:jc w:val="both"/>
      </w:pPr>
      <w:r w:rsidRPr="00DB2A2F">
        <w:t xml:space="preserve">Zastosowanie zasady współmierności przy obliczaniu stopy kapitalizacji. </w:t>
      </w:r>
    </w:p>
    <w:p w14:paraId="2C53E7E3" w14:textId="295FA935" w:rsidR="00DB2A2F" w:rsidRPr="00DB2A2F" w:rsidRDefault="00DB2A2F" w:rsidP="00DB2A2F">
      <w:pPr>
        <w:pStyle w:val="Nagwek"/>
        <w:numPr>
          <w:ilvl w:val="1"/>
          <w:numId w:val="42"/>
        </w:numPr>
        <w:ind w:left="1134" w:right="-82"/>
        <w:jc w:val="both"/>
      </w:pPr>
      <w:r w:rsidRPr="00DB2A2F">
        <w:t xml:space="preserve">Wyznaczanie stopy kapitalizacji jako stopy zwrotu. Przykłady. </w:t>
      </w:r>
    </w:p>
    <w:p w14:paraId="29F3BBBE" w14:textId="55EB1C63" w:rsidR="00DB2A2F" w:rsidRPr="00DB2A2F" w:rsidRDefault="00DB2A2F" w:rsidP="00DB2A2F">
      <w:pPr>
        <w:pStyle w:val="Nagwek"/>
        <w:numPr>
          <w:ilvl w:val="1"/>
          <w:numId w:val="42"/>
        </w:numPr>
        <w:ind w:left="1134" w:right="-82"/>
        <w:jc w:val="both"/>
      </w:pPr>
      <w:r w:rsidRPr="00DB2A2F">
        <w:t xml:space="preserve">Inne sposoby określania stopy kapitalizacji. Przykłady. </w:t>
      </w:r>
    </w:p>
    <w:p w14:paraId="06763E6B" w14:textId="37ACDC67" w:rsidR="00DB2A2F" w:rsidRPr="00DB2A2F" w:rsidRDefault="00DB2A2F" w:rsidP="00DB2A2F">
      <w:pPr>
        <w:pStyle w:val="Nagwek"/>
        <w:numPr>
          <w:ilvl w:val="1"/>
          <w:numId w:val="42"/>
        </w:numPr>
        <w:ind w:left="1134" w:right="-82"/>
        <w:jc w:val="both"/>
      </w:pPr>
      <w:r w:rsidRPr="00DB2A2F">
        <w:t xml:space="preserve">Stopa kapitalizacji a stopa dyskonta. Sposoby określania stopy dyskonta dla potrzeb wyceny wartości nieruchomości. Przykłady. </w:t>
      </w:r>
    </w:p>
    <w:p w14:paraId="014552E9" w14:textId="7D903E78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Stopa kapitalizacji i stopa dyskonta w technice DCF. </w:t>
      </w:r>
    </w:p>
    <w:p w14:paraId="5B8A656C" w14:textId="21B986BE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Stopa kapitalizacji w technice kapitalizacji prostej. Przykłady. </w:t>
      </w:r>
    </w:p>
    <w:p w14:paraId="6761C397" w14:textId="6572F852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Przykład wyceny nieruchomości komercyjnej. </w:t>
      </w:r>
    </w:p>
    <w:p w14:paraId="2C99579E" w14:textId="06AD3EB4" w:rsidR="00DB2A2F" w:rsidRPr="00DB2A2F" w:rsidRDefault="00DB2A2F" w:rsidP="00DB2A2F">
      <w:pPr>
        <w:pStyle w:val="Nagwek"/>
        <w:numPr>
          <w:ilvl w:val="0"/>
          <w:numId w:val="42"/>
        </w:numPr>
        <w:tabs>
          <w:tab w:val="left" w:pos="708"/>
        </w:tabs>
        <w:ind w:right="-82"/>
        <w:jc w:val="both"/>
      </w:pPr>
      <w:r w:rsidRPr="00DB2A2F">
        <w:t xml:space="preserve">Podsumowanie. </w:t>
      </w:r>
    </w:p>
    <w:p w14:paraId="11C3011F" w14:textId="21D1C810" w:rsidR="00DB2A2F" w:rsidRDefault="00DB2A2F" w:rsidP="00DB2A2F">
      <w:pPr>
        <w:pStyle w:val="Nagwek"/>
        <w:tabs>
          <w:tab w:val="left" w:pos="708"/>
        </w:tabs>
        <w:ind w:right="-82"/>
        <w:jc w:val="both"/>
      </w:pPr>
    </w:p>
    <w:p w14:paraId="07F4C2CA" w14:textId="53E182F8" w:rsidR="00943767" w:rsidRDefault="00943767" w:rsidP="00DB2A2F">
      <w:pPr>
        <w:pStyle w:val="Nagwek"/>
        <w:tabs>
          <w:tab w:val="left" w:pos="708"/>
        </w:tabs>
        <w:ind w:right="-82"/>
        <w:jc w:val="both"/>
      </w:pPr>
    </w:p>
    <w:p w14:paraId="0D6A37CB" w14:textId="77777777" w:rsidR="00943767" w:rsidRPr="00DB2A2F" w:rsidRDefault="00943767" w:rsidP="00DB2A2F">
      <w:pPr>
        <w:pStyle w:val="Nagwek"/>
        <w:tabs>
          <w:tab w:val="left" w:pos="708"/>
        </w:tabs>
        <w:ind w:right="-82"/>
        <w:jc w:val="both"/>
      </w:pPr>
    </w:p>
    <w:p w14:paraId="010EC900" w14:textId="194ED582" w:rsidR="00DB2A2F" w:rsidRDefault="00DB2A2F" w:rsidP="003E158F">
      <w:pPr>
        <w:pStyle w:val="Nagwek"/>
        <w:tabs>
          <w:tab w:val="left" w:pos="708"/>
        </w:tabs>
        <w:ind w:right="-82"/>
        <w:jc w:val="center"/>
        <w:rPr>
          <w:b/>
          <w:bCs/>
        </w:rPr>
      </w:pPr>
      <w:r w:rsidRPr="00DB2A2F">
        <w:rPr>
          <w:b/>
          <w:bCs/>
        </w:rPr>
        <w:t>8 października 2022 r. (SOBOTA) - Liczba godzin: 3 godziny szkolenia + 3 godziny warsztatów</w:t>
      </w:r>
    </w:p>
    <w:p w14:paraId="00619D58" w14:textId="77777777" w:rsidR="003E158F" w:rsidRPr="00DB2A2F" w:rsidRDefault="003E158F" w:rsidP="003E158F">
      <w:pPr>
        <w:pStyle w:val="Nagwek"/>
        <w:tabs>
          <w:tab w:val="left" w:pos="708"/>
        </w:tabs>
        <w:ind w:right="-82"/>
        <w:jc w:val="center"/>
      </w:pPr>
    </w:p>
    <w:p w14:paraId="2F41A419" w14:textId="3BDDE687" w:rsidR="00DB2A2F" w:rsidRDefault="00DB2A2F" w:rsidP="003E158F">
      <w:pPr>
        <w:pStyle w:val="Nagwek"/>
        <w:tabs>
          <w:tab w:val="left" w:pos="708"/>
        </w:tabs>
        <w:ind w:right="-82"/>
        <w:jc w:val="center"/>
        <w:rPr>
          <w:b/>
          <w:bCs/>
        </w:rPr>
      </w:pPr>
      <w:r w:rsidRPr="00DB2A2F">
        <w:rPr>
          <w:b/>
          <w:bCs/>
        </w:rPr>
        <w:t>„POWIERZCHNIA BUDYNKU NIE JEDNO MA IMIĘ”</w:t>
      </w:r>
    </w:p>
    <w:p w14:paraId="4AE18D4E" w14:textId="77777777" w:rsidR="003E158F" w:rsidRPr="00DB2A2F" w:rsidRDefault="003E158F" w:rsidP="003E158F">
      <w:pPr>
        <w:pStyle w:val="Nagwek"/>
        <w:tabs>
          <w:tab w:val="left" w:pos="708"/>
        </w:tabs>
        <w:ind w:right="-82"/>
        <w:jc w:val="center"/>
      </w:pPr>
    </w:p>
    <w:p w14:paraId="0441152D" w14:textId="49F6BD68" w:rsidR="00DB2A2F" w:rsidRDefault="00DB2A2F" w:rsidP="00DB2A2F">
      <w:pPr>
        <w:pStyle w:val="Nagwek"/>
        <w:tabs>
          <w:tab w:val="left" w:pos="708"/>
        </w:tabs>
        <w:ind w:right="-82"/>
        <w:jc w:val="both"/>
      </w:pPr>
      <w:r w:rsidRPr="00DB2A2F">
        <w:t xml:space="preserve">Wielkość powierzchni budynku to jeden z najistotniejszych czynników wpływających na wartość nieruchomości. Wielość przepisów definiujących w różny sposób powierzchnię budynku powoduje chaos pojęciowy. Dodatkowo, różne przepisy posługują się często tą samą nazwą „powierzchnia użytkowa”, która w każdym z nich jest inaczej rozumiana. Jeśli nałożymy na to dwie istniejące normy obliczania powierzchni budynków a każda z nich definiuje 9 różnych rodzajów powierzchni, to mamy obraz złożoności tematu. Szkolenie ma odpowiedzieć na pytanie jak prawidłowo ustalać powierzchnię budynków dla celu wyceny w podejściu porównawczym i dochodowym, dla celu wyodrębniania </w:t>
      </w:r>
      <w:r w:rsidRPr="00DB2A2F">
        <w:lastRenderedPageBreak/>
        <w:t xml:space="preserve">samodzielnych lokali, dla celu podatku od nieruchomości, dla celu najmu lokalu mieszkalnego z zasobu gminy, dla celu ewidencji budynku i in. </w:t>
      </w:r>
    </w:p>
    <w:p w14:paraId="19CD10FB" w14:textId="77777777" w:rsidR="003E158F" w:rsidRPr="00DB2A2F" w:rsidRDefault="003E158F" w:rsidP="00DB2A2F">
      <w:pPr>
        <w:pStyle w:val="Nagwek"/>
        <w:tabs>
          <w:tab w:val="left" w:pos="708"/>
        </w:tabs>
        <w:ind w:right="-82"/>
        <w:jc w:val="both"/>
      </w:pPr>
    </w:p>
    <w:p w14:paraId="4FD5FFE7" w14:textId="6ED7FD2D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Wprowadzenie. </w:t>
      </w:r>
    </w:p>
    <w:p w14:paraId="5FC72AFA" w14:textId="597406EC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Zasady stosowania polskich i europejskich norm. </w:t>
      </w:r>
    </w:p>
    <w:p w14:paraId="76C8AA1C" w14:textId="533A6BCB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Normy polskie definiujące rodzaje powierzchni budynków. </w:t>
      </w:r>
    </w:p>
    <w:p w14:paraId="0B32E697" w14:textId="03461F58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Systematyka , definicje powierzchni i zasady obliczania powierzchni budynków wg </w:t>
      </w:r>
    </w:p>
    <w:p w14:paraId="3AC4F06B" w14:textId="77777777" w:rsidR="00DB2A2F" w:rsidRPr="00DB2A2F" w:rsidRDefault="00DB2A2F" w:rsidP="003E158F">
      <w:pPr>
        <w:pStyle w:val="Nagwek"/>
        <w:tabs>
          <w:tab w:val="left" w:pos="708"/>
        </w:tabs>
        <w:ind w:left="720" w:right="-82"/>
        <w:jc w:val="both"/>
      </w:pPr>
      <w:r w:rsidRPr="00DB2A2F">
        <w:t xml:space="preserve">normy PN-70/B-02365 i PN-ISO 9836 . Podobieństwa i różnice. </w:t>
      </w:r>
    </w:p>
    <w:p w14:paraId="3048103D" w14:textId="342D2938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Zasady obliczania powierzchni budynku w projekcie budowlanym. </w:t>
      </w:r>
    </w:p>
    <w:p w14:paraId="57A3C60E" w14:textId="4393104E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Definicje powierzchni użytkowej w świetle różnych przepisów prawa. </w:t>
      </w:r>
    </w:p>
    <w:p w14:paraId="40F1F561" w14:textId="7BE54B56" w:rsidR="00DB2A2F" w:rsidRPr="00DB2A2F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</w:pPr>
      <w:r w:rsidRPr="00DB2A2F">
        <w:t xml:space="preserve">Przykład obliczania różnych rodzajów powierzchni budynku w kontekście celu, któremu </w:t>
      </w:r>
    </w:p>
    <w:p w14:paraId="1D5F7277" w14:textId="77777777" w:rsidR="00DB2A2F" w:rsidRPr="00DB2A2F" w:rsidRDefault="00DB2A2F" w:rsidP="003E158F">
      <w:pPr>
        <w:pStyle w:val="Nagwek"/>
        <w:tabs>
          <w:tab w:val="left" w:pos="708"/>
        </w:tabs>
        <w:ind w:left="720" w:right="-82"/>
        <w:jc w:val="both"/>
      </w:pPr>
      <w:r w:rsidRPr="00DB2A2F">
        <w:t xml:space="preserve">informacja o powierzchni ma służyć. </w:t>
      </w:r>
    </w:p>
    <w:p w14:paraId="2361E629" w14:textId="26881BA1" w:rsidR="00DF771B" w:rsidRPr="00AE0C92" w:rsidRDefault="00DB2A2F" w:rsidP="003E158F">
      <w:pPr>
        <w:pStyle w:val="Nagwek"/>
        <w:numPr>
          <w:ilvl w:val="0"/>
          <w:numId w:val="44"/>
        </w:numPr>
        <w:tabs>
          <w:tab w:val="left" w:pos="708"/>
        </w:tabs>
        <w:ind w:right="-82"/>
        <w:jc w:val="both"/>
        <w:rPr>
          <w:szCs w:val="24"/>
        </w:rPr>
      </w:pPr>
      <w:r w:rsidRPr="00DB2A2F">
        <w:rPr>
          <w:szCs w:val="24"/>
        </w:rPr>
        <w:t>Podsumowanie.</w:t>
      </w:r>
    </w:p>
    <w:sectPr w:rsidR="00DF771B" w:rsidRPr="00AE0C92" w:rsidSect="00671259">
      <w:headerReference w:type="even" r:id="rId7"/>
      <w:headerReference w:type="default" r:id="rId8"/>
      <w:footerReference w:type="default" r:id="rId9"/>
      <w:pgSz w:w="11906" w:h="16838" w:code="9"/>
      <w:pgMar w:top="709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337"/>
    <w:multiLevelType w:val="hybridMultilevel"/>
    <w:tmpl w:val="41523124"/>
    <w:lvl w:ilvl="0" w:tplc="8A847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8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03FE5"/>
    <w:multiLevelType w:val="multilevel"/>
    <w:tmpl w:val="BDC6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51371"/>
    <w:multiLevelType w:val="multilevel"/>
    <w:tmpl w:val="9B0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D0F"/>
    <w:multiLevelType w:val="multilevel"/>
    <w:tmpl w:val="BDC6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C3C37"/>
    <w:multiLevelType w:val="multilevel"/>
    <w:tmpl w:val="E40AF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842B96"/>
    <w:multiLevelType w:val="multilevel"/>
    <w:tmpl w:val="BDC6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31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DA29FE"/>
    <w:multiLevelType w:val="hybridMultilevel"/>
    <w:tmpl w:val="4F16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7392">
    <w:abstractNumId w:val="11"/>
  </w:num>
  <w:num w:numId="2" w16cid:durableId="209223340">
    <w:abstractNumId w:val="26"/>
  </w:num>
  <w:num w:numId="3" w16cid:durableId="548565617">
    <w:abstractNumId w:val="7"/>
  </w:num>
  <w:num w:numId="4" w16cid:durableId="927276917">
    <w:abstractNumId w:val="30"/>
  </w:num>
  <w:num w:numId="5" w16cid:durableId="1120757390">
    <w:abstractNumId w:val="19"/>
  </w:num>
  <w:num w:numId="6" w16cid:durableId="1870099656">
    <w:abstractNumId w:val="4"/>
  </w:num>
  <w:num w:numId="7" w16cid:durableId="89936896">
    <w:abstractNumId w:val="17"/>
  </w:num>
  <w:num w:numId="8" w16cid:durableId="1065447830">
    <w:abstractNumId w:val="39"/>
  </w:num>
  <w:num w:numId="9" w16cid:durableId="491335293">
    <w:abstractNumId w:val="12"/>
  </w:num>
  <w:num w:numId="10" w16cid:durableId="1250655398">
    <w:abstractNumId w:val="14"/>
  </w:num>
  <w:num w:numId="11" w16cid:durableId="859929163">
    <w:abstractNumId w:val="8"/>
  </w:num>
  <w:num w:numId="12" w16cid:durableId="1443186988">
    <w:abstractNumId w:val="41"/>
  </w:num>
  <w:num w:numId="13" w16cid:durableId="1473211281">
    <w:abstractNumId w:val="37"/>
  </w:num>
  <w:num w:numId="14" w16cid:durableId="68043029">
    <w:abstractNumId w:val="27"/>
  </w:num>
  <w:num w:numId="15" w16cid:durableId="9794636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8431575">
    <w:abstractNumId w:val="42"/>
  </w:num>
  <w:num w:numId="17" w16cid:durableId="1405571142">
    <w:abstractNumId w:val="40"/>
  </w:num>
  <w:num w:numId="18" w16cid:durableId="390730812">
    <w:abstractNumId w:val="33"/>
  </w:num>
  <w:num w:numId="19" w16cid:durableId="2031294461">
    <w:abstractNumId w:val="0"/>
  </w:num>
  <w:num w:numId="20" w16cid:durableId="1637174637">
    <w:abstractNumId w:val="35"/>
  </w:num>
  <w:num w:numId="21" w16cid:durableId="1911772409">
    <w:abstractNumId w:val="31"/>
  </w:num>
  <w:num w:numId="22" w16cid:durableId="1554543291">
    <w:abstractNumId w:val="10"/>
  </w:num>
  <w:num w:numId="23" w16cid:durableId="349527728">
    <w:abstractNumId w:val="13"/>
  </w:num>
  <w:num w:numId="24" w16cid:durableId="1109854763">
    <w:abstractNumId w:val="6"/>
  </w:num>
  <w:num w:numId="25" w16cid:durableId="63575442">
    <w:abstractNumId w:val="24"/>
  </w:num>
  <w:num w:numId="26" w16cid:durableId="1197933386">
    <w:abstractNumId w:val="1"/>
  </w:num>
  <w:num w:numId="27" w16cid:durableId="935093859">
    <w:abstractNumId w:val="20"/>
  </w:num>
  <w:num w:numId="28" w16cid:durableId="1452626928">
    <w:abstractNumId w:val="36"/>
  </w:num>
  <w:num w:numId="29" w16cid:durableId="1831865072">
    <w:abstractNumId w:val="34"/>
  </w:num>
  <w:num w:numId="30" w16cid:durableId="572130637">
    <w:abstractNumId w:val="22"/>
  </w:num>
  <w:num w:numId="31" w16cid:durableId="13191120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7876465">
    <w:abstractNumId w:val="5"/>
  </w:num>
  <w:num w:numId="33" w16cid:durableId="893541989">
    <w:abstractNumId w:val="25"/>
  </w:num>
  <w:num w:numId="34" w16cid:durableId="425348004">
    <w:abstractNumId w:val="3"/>
  </w:num>
  <w:num w:numId="35" w16cid:durableId="1717582727">
    <w:abstractNumId w:val="38"/>
  </w:num>
  <w:num w:numId="36" w16cid:durableId="222447964">
    <w:abstractNumId w:val="9"/>
  </w:num>
  <w:num w:numId="37" w16cid:durableId="581186484">
    <w:abstractNumId w:val="15"/>
  </w:num>
  <w:num w:numId="38" w16cid:durableId="800271507">
    <w:abstractNumId w:val="23"/>
  </w:num>
  <w:num w:numId="39" w16cid:durableId="435171084">
    <w:abstractNumId w:val="18"/>
  </w:num>
  <w:num w:numId="40" w16cid:durableId="718168752">
    <w:abstractNumId w:val="32"/>
  </w:num>
  <w:num w:numId="41" w16cid:durableId="1416050648">
    <w:abstractNumId w:val="16"/>
  </w:num>
  <w:num w:numId="42" w16cid:durableId="2104758264">
    <w:abstractNumId w:val="28"/>
  </w:num>
  <w:num w:numId="43" w16cid:durableId="2091346922">
    <w:abstractNumId w:val="21"/>
  </w:num>
  <w:num w:numId="44" w16cid:durableId="131294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158F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25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3767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2A2F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3369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5</cp:revision>
  <cp:lastPrinted>2022-03-22T10:49:00Z</cp:lastPrinted>
  <dcterms:created xsi:type="dcterms:W3CDTF">2022-03-29T07:46:00Z</dcterms:created>
  <dcterms:modified xsi:type="dcterms:W3CDTF">2022-09-28T12:18:00Z</dcterms:modified>
</cp:coreProperties>
</file>